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639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9639"/>
      </w:tblGrid>
      <w:tr>
        <w:tblPrEx/>
        <w:trPr>
          <w:trHeight w:val="294"/>
        </w:trPr>
        <w:tc>
          <w:tcPr>
            <w:tcW w:w="9639" w:type="dxa"/>
            <w:textDirection w:val="lrTb"/>
            <w:noWrap w:val="false"/>
          </w:tcPr>
          <w:p>
            <w:pPr>
              <w:pStyle w:val="618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935" distR="114935" simplePos="0" relativeHeight="3" behindDoc="0" locked="0" layoutInCell="1" allowOverlap="1">
                      <wp:simplePos x="0" y="0"/>
                      <wp:positionH relativeFrom="column">
                        <wp:posOffset>2611120</wp:posOffset>
                      </wp:positionH>
                      <wp:positionV relativeFrom="paragraph">
                        <wp:posOffset>635</wp:posOffset>
                      </wp:positionV>
                      <wp:extent cx="733425" cy="866775"/>
                      <wp:effectExtent l="0" t="0" r="0" b="0"/>
                      <wp:wrapSquare wrapText="bothSides"/>
                      <wp:docPr id="1" name="Image1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Image1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rcRect l="-4" t="-3" r="-4" b="-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33424" cy="8667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3;o:allowoverlap:true;o:allowincell:true;mso-position-horizontal-relative:text;margin-left:205.60pt;mso-position-horizontal:absolute;mso-position-vertical-relative:text;margin-top:0.05pt;mso-position-vertical:absolute;width:57.75pt;height:68.25pt;mso-wrap-distance-left:9.05pt;mso-wrap-distance-top:0.00pt;mso-wrap-distance-right:9.05pt;mso-wrap-distance-bottom:0.00pt;" stroked="false">
                      <v:path textboxrect="0,0,0,0"/>
                      <w10:wrap type="square"/>
                      <v:imagedata r:id="rId9" o:title=""/>
                    </v:shape>
                  </w:pict>
                </mc:Fallback>
              </mc:AlternateContent>
            </w:r>
            <w:r>
              <w:rPr>
                <w:sz w:val="28"/>
                <w:szCs w:val="28"/>
                <w:lang w:val="en-US" w:eastAsia="en-US"/>
              </w:rPr>
            </w:r>
          </w:p>
          <w:p>
            <w:pPr>
              <w:pStyle w:val="618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</w:r>
            <w:r>
              <w:rPr>
                <w:sz w:val="28"/>
                <w:szCs w:val="28"/>
                <w:lang w:val="en-US" w:eastAsia="en-US"/>
              </w:rPr>
            </w:r>
          </w:p>
          <w:p>
            <w:pPr>
              <w:pStyle w:val="618"/>
              <w:jc w:val="center"/>
              <w:rPr>
                <w:b/>
                <w:sz w:val="36"/>
                <w:szCs w:val="36"/>
                <w:lang w:val="en-US" w:eastAsia="en-US"/>
              </w:rPr>
            </w:pPr>
            <w:r>
              <w:rPr>
                <w:b/>
                <w:sz w:val="36"/>
                <w:szCs w:val="36"/>
                <w:lang w:val="en-US" w:eastAsia="en-US"/>
              </w:rPr>
            </w:r>
            <w:r>
              <w:rPr>
                <w:b/>
                <w:sz w:val="36"/>
                <w:szCs w:val="36"/>
                <w:lang w:val="en-US" w:eastAsia="en-US"/>
              </w:rPr>
            </w:r>
          </w:p>
          <w:p>
            <w:pPr>
              <w:pStyle w:val="618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</w:r>
            <w:r>
              <w:rPr>
                <w:b/>
                <w:sz w:val="36"/>
                <w:szCs w:val="36"/>
              </w:rPr>
            </w:r>
          </w:p>
          <w:p>
            <w:pPr>
              <w:pStyle w:val="618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АДМИНИСТРАЦИЯ </w:t>
            </w:r>
            <w:r>
              <w:rPr>
                <w:b/>
                <w:sz w:val="36"/>
                <w:szCs w:val="36"/>
              </w:rPr>
            </w:r>
          </w:p>
          <w:p>
            <w:pPr>
              <w:pStyle w:val="618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МУНИЦИПАЛЬНОГО ОБРАЗОВАНИЯ </w:t>
            </w:r>
            <w:r>
              <w:rPr>
                <w:b/>
                <w:sz w:val="36"/>
                <w:szCs w:val="36"/>
              </w:rPr>
            </w:r>
          </w:p>
          <w:p>
            <w:pPr>
              <w:pStyle w:val="618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«РАБОЧИЙ ПОСЕЛОК ИССА»</w:t>
            </w:r>
            <w:r>
              <w:rPr>
                <w:b/>
                <w:sz w:val="36"/>
                <w:szCs w:val="36"/>
              </w:rPr>
            </w:r>
          </w:p>
          <w:p>
            <w:pPr>
              <w:pStyle w:val="618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ИССИНСКОГО РАЙОНА ПЕНЗЕНСКОЙ ОБЛАСТИ</w:t>
            </w:r>
            <w:r>
              <w:rPr>
                <w:b/>
                <w:sz w:val="36"/>
                <w:szCs w:val="36"/>
              </w:rPr>
            </w:r>
          </w:p>
          <w:p>
            <w:pPr>
              <w:pStyle w:val="618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</w:r>
            <w:r>
              <w:rPr>
                <w:b/>
                <w:sz w:val="40"/>
                <w:szCs w:val="40"/>
              </w:rPr>
            </w:r>
          </w:p>
        </w:tc>
      </w:tr>
      <w:tr>
        <w:tblPrEx/>
        <w:trPr>
          <w:trHeight w:val="636" w:hRule="exact"/>
        </w:trPr>
        <w:tc>
          <w:tcPr>
            <w:tcW w:w="9639" w:type="dxa"/>
            <w:vAlign w:val="center"/>
            <w:textDirection w:val="lrTb"/>
            <w:noWrap w:val="false"/>
          </w:tcPr>
          <w:p>
            <w:pPr>
              <w:pStyle w:val="619"/>
              <w:jc w:val="center"/>
              <w:spacing w:before="240" w:after="60"/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ПОСТАНОВЛЕНИЕ</w:t>
            </w:r>
            <w:r/>
          </w:p>
        </w:tc>
      </w:tr>
      <w:tr>
        <w:tblPrEx/>
        <w:trPr>
          <w:trHeight w:val="212" w:hRule="exact"/>
        </w:trPr>
        <w:tc>
          <w:tcPr>
            <w:tcW w:w="9639" w:type="dxa"/>
            <w:vAlign w:val="center"/>
            <w:textDirection w:val="lrTb"/>
            <w:noWrap w:val="false"/>
          </w:tcPr>
          <w:p>
            <w:pPr>
              <w:pStyle w:val="619"/>
              <w:spacing w:before="240" w:after="60"/>
              <w:rPr>
                <w:rFonts w:ascii="Times New Roman" w:hAnsi="Times New Roman" w:cs="Arial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Arial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cs="Arial"/>
                <w:sz w:val="28"/>
                <w:szCs w:val="28"/>
                <w:lang w:val="ru-RU" w:eastAsia="ru-RU"/>
              </w:rPr>
            </w:r>
          </w:p>
        </w:tc>
      </w:tr>
    </w:tbl>
    <w:p>
      <w:pPr>
        <w:pStyle w:val="618"/>
        <w:jc w:val="both"/>
        <w:spacing w:line="192" w:lineRule="auto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631"/>
      </w:pPr>
      <w:r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" behindDoc="0" locked="0" layoutInCell="0" allowOverlap="1">
                <wp:simplePos x="0" y="0"/>
                <wp:positionH relativeFrom="page">
                  <wp:posOffset>2602865</wp:posOffset>
                </wp:positionH>
                <wp:positionV relativeFrom="paragraph">
                  <wp:posOffset>106680</wp:posOffset>
                </wp:positionV>
                <wp:extent cx="2952750" cy="433070"/>
                <wp:effectExtent l="0" t="0" r="0" b="0"/>
                <wp:wrapSquare wrapText="bothSides"/>
                <wp:docPr id="2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952750" cy="4330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Ind w:w="0" w:type="dxa"/>
                              <w:tblLayout w:type="fixed"/>
                              <w:tblCellMar>
                                <w:left w:w="0" w:type="dxa"/>
                                <w:top w:w="0" w:type="dxa"/>
                                <w:right w:w="0" w:type="dxa"/>
                                <w:bottom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4"/>
                              <w:gridCol w:w="2835"/>
                              <w:gridCol w:w="397"/>
                              <w:gridCol w:w="1134"/>
                            </w:tblGrid>
                            <w:tr>
                              <w:tblPrEx/>
                              <w:trPr/>
                              <w:tc>
                                <w:tcPr>
                                  <w:tcW w:w="284" w:type="dxa"/>
                                  <w:vAlign w:val="bottom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от</w:t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bottom w:val="single" w:color="000000" w:sz="6" w:space="0"/>
                                  </w:tcBorders>
                                  <w:tcW w:w="2835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18"/>
                                    <w:ind w:left="992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bottom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№</w:t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bottom w:val="single" w:color="000000" w:sz="6" w:space="0"/>
                                  </w:tcBorders>
                                  <w:tcW w:w="1134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/>
                              <w:tc>
                                <w:tcPr>
                                  <w:gridSpan w:val="4"/>
                                  <w:tcW w:w="465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18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  <w:p>
                                  <w:pPr>
                                    <w:pStyle w:val="6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Р.п.Исса</w:t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r/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;o:allowoverlap:true;o:allowincell:false;mso-position-horizontal-relative:page;margin-left:204.95pt;mso-position-horizontal:absolute;mso-position-vertical-relative:text;margin-top:8.40pt;mso-position-vertical:absolute;width:232.50pt;height:34.10pt;mso-wrap-distance-left:9.00pt;mso-wrap-distance-top:0.00pt;mso-wrap-distance-right:9.00pt;mso-wrap-distance-bottom:0.00pt;v-text-anchor:top;visibility:visible;" fillcolor="#FFFFFF">
                <v:fill opacity="100f"/>
                <w10:wrap type="square"/>
                <v:textbox inset="0,0,0,0">
                  <w:txbxContent>
                    <w:tbl>
                      <w:tblPr>
                        <w:tblW w:w="5000" w:type="pct"/>
                        <w:tblInd w:w="0" w:type="dxa"/>
                        <w:tblLayout w:type="fixed"/>
                        <w:tblCellMar>
                          <w:left w:w="0" w:type="dxa"/>
                          <w:top w:w="0" w:type="dxa"/>
                          <w:right w:w="0" w:type="dxa"/>
                          <w:bottom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4"/>
                        <w:gridCol w:w="2835"/>
                        <w:gridCol w:w="397"/>
                        <w:gridCol w:w="1134"/>
                      </w:tblGrid>
                      <w:tr>
                        <w:tblPrEx/>
                        <w:trPr/>
                        <w:tc>
                          <w:tcPr>
                            <w:tcW w:w="284" w:type="dxa"/>
                            <w:vAlign w:val="bottom"/>
                            <w:textDirection w:val="lrTb"/>
                            <w:noWrap w:val="false"/>
                          </w:tcPr>
                          <w:p>
                            <w:pPr>
                              <w:pStyle w:val="6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от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bottom w:val="single" w:color="000000" w:sz="6" w:space="0"/>
                            </w:tcBorders>
                            <w:tcW w:w="2835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618"/>
                              <w:ind w:left="992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397" w:type="dxa"/>
                            <w:vAlign w:val="bottom"/>
                            <w:textDirection w:val="lrTb"/>
                            <w:noWrap w:val="false"/>
                          </w:tcPr>
                          <w:p>
                            <w:pPr>
                              <w:pStyle w:val="6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№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bottom w:val="single" w:color="000000" w:sz="6" w:space="0"/>
                            </w:tcBorders>
                            <w:tcW w:w="1134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6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blPrEx/>
                        <w:trPr/>
                        <w:tc>
                          <w:tcPr>
                            <w:gridSpan w:val="4"/>
                            <w:tcW w:w="465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618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</w:p>
                          <w:p>
                            <w:pPr>
                              <w:pStyle w:val="6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Р.п.Исса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</w:tbl>
                    <w:p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631"/>
      </w:pPr>
      <w:r/>
      <w:r/>
    </w:p>
    <w:p>
      <w:pPr>
        <w:pStyle w:val="631"/>
      </w:pPr>
      <w:r/>
      <w:r/>
    </w:p>
    <w:p>
      <w:pPr>
        <w:pStyle w:val="640"/>
        <w:numPr>
          <w:ilvl w:val="0"/>
          <w:numId w:val="0"/>
        </w:numPr>
        <w:jc w:val="center"/>
        <w:spacing w:line="228" w:lineRule="auto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Об одобрении проекта изменений бюджетного прогноза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«Рабочий поселок Исса» Иссинского района Пензенской области на долгосрочный период до 2030 года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8"/>
        <w:ind w:firstLine="709"/>
        <w:jc w:val="both"/>
        <w:spacing w:before="120"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8"/>
        <w:ind w:firstLine="540"/>
        <w:jc w:val="both"/>
        <w:spacing w:before="120" w:after="0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 xml:space="preserve">В соответствии со статьей 170.1 Бюджетного кодекса Российской Федерации,  Положением о бюджетном процессе в муниципальном образо</w:t>
      </w:r>
      <w:r>
        <w:rPr>
          <w:sz w:val="28"/>
        </w:rPr>
        <w:t xml:space="preserve">вании «Рабочий поселок Исса»  Иссинского района Пензенской области, утвержденным решением Комитета местного самоуправления муниципального образования «Рабочий поселок Исса» Иссинского района Пензенской области от 12.04.2022 № 198-46/7 (с последующими измен</w:t>
      </w:r>
      <w:r>
        <w:rPr>
          <w:sz w:val="28"/>
        </w:rPr>
        <w:t xml:space="preserve">ениями), Порядком разработки, утверждения, общественного обсуждения, мониторинга и контроля реализации бюджетного прогноза муниципального образования «Рабочий поселок Исса» Иссинского района Пензенской области на долгосрочный период от 24.10.2024 № 116-п «</w:t>
      </w:r>
      <w:r>
        <w:rPr>
          <w:sz w:val="28"/>
          <w:szCs w:val="28"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муниципального образования «Рабочий поселок Исса» Иссинского района Пензенской области на долгосрочный период</w:t>
      </w:r>
      <w:r>
        <w:rPr>
          <w:sz w:val="28"/>
        </w:rPr>
        <w:t xml:space="preserve">», </w:t>
      </w:r>
      <w:r>
        <w:rPr>
          <w:sz w:val="28"/>
          <w:szCs w:val="28"/>
        </w:rPr>
        <w:t xml:space="preserve">руководствуясь статьей 26 Устава</w:t>
      </w:r>
      <w:r>
        <w:t xml:space="preserve"> </w:t>
      </w:r>
      <w:r>
        <w:rPr>
          <w:sz w:val="28"/>
          <w:szCs w:val="28"/>
        </w:rPr>
        <w:t xml:space="preserve">муниципального образования «Рабочий поселок Исса» Иссинского района Пензенской области,</w:t>
      </w:r>
      <w:r>
        <w:rPr>
          <w:color w:val="000000"/>
          <w:sz w:val="28"/>
          <w:szCs w:val="28"/>
          <w:shd w:val="clear" w:color="auto" w:fill="ffffff"/>
        </w:rPr>
        <w:t xml:space="preserve"> администрация муниципального образования «Рабочий поселок Исса» Иссинского района Пензенской области </w:t>
      </w:r>
      <w:r>
        <w:rPr>
          <w:b/>
          <w:color w:val="000000"/>
          <w:sz w:val="28"/>
          <w:szCs w:val="28"/>
          <w:shd w:val="clear" w:color="auto" w:fill="ffffff"/>
        </w:rPr>
        <w:t xml:space="preserve">постановляет:</w:t>
      </w:r>
      <w:r>
        <w:rPr>
          <w:b/>
          <w:color w:val="000000"/>
          <w:sz w:val="28"/>
          <w:szCs w:val="28"/>
          <w:shd w:val="clear" w:color="auto" w:fill="ffffff"/>
        </w:rPr>
      </w:r>
    </w:p>
    <w:p>
      <w:pPr>
        <w:pStyle w:val="641"/>
        <w:jc w:val="both"/>
        <w:spacing w:before="120"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1. Одобрить проект изменений бюджетного прогноза муниципального образования «Рабочий поселок Ис</w:t>
      </w:r>
      <w:r>
        <w:rPr>
          <w:rFonts w:ascii="Times New Roman" w:hAnsi="Times New Roman" w:cs="Times New Roman"/>
          <w:sz w:val="28"/>
          <w:szCs w:val="28"/>
        </w:rPr>
        <w:t xml:space="preserve">са» Иссинского района Пензенской области на долгосрочный период до 2030 года, утвержденный постановлением администрации муниципального образования «Рабочий поселок Исса» Иссинского района Пензенской области от 13.02.2024 № 17-п (далее – бюджетный прогноз).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ind w:firstLine="567"/>
        <w:jc w:val="both"/>
        <w:spacing w:before="120" w:after="0" w:line="228" w:lineRule="auto"/>
      </w:pPr>
      <w:r>
        <w:rPr>
          <w:rFonts w:ascii="Times New Roman" w:hAnsi="Times New Roman" w:cs="Times New Roman"/>
          <w:sz w:val="28"/>
          <w:szCs w:val="28"/>
        </w:rPr>
        <w:t xml:space="preserve">1.1. Приложение № 1 «Прогноз основных характеристик бюджета муниципального образования «Рабочий поселок Исса» Иссинского района Пензенской области» к бюджетному прогнозу изложить в редакции согласно приложению к настоящему постановлению.</w:t>
      </w:r>
      <w:r/>
    </w:p>
    <w:p>
      <w:pPr>
        <w:pStyle w:val="618"/>
        <w:ind w:firstLine="567"/>
        <w:jc w:val="both"/>
        <w:spacing w:before="120" w:after="0" w:line="228" w:lineRule="auto"/>
        <w:rPr>
          <w:sz w:val="28"/>
          <w:szCs w:val="28"/>
        </w:rPr>
      </w:pPr>
      <w:r>
        <w:rPr>
          <w:sz w:val="28"/>
          <w:szCs w:val="28"/>
        </w:rPr>
        <w:t xml:space="preserve">2. Настоящее постановление разместить (опубликовать) на официальном сайте администрации Иссинского района Пензенской области в информационно-телекоммуникационной сети «Интернет».</w:t>
      </w:r>
      <w:r>
        <w:rPr>
          <w:sz w:val="28"/>
          <w:szCs w:val="28"/>
        </w:rPr>
      </w:r>
    </w:p>
    <w:p>
      <w:pPr>
        <w:pStyle w:val="618"/>
        <w:ind w:firstLine="709"/>
        <w:jc w:val="both"/>
        <w:spacing w:before="120" w:after="0" w:line="228" w:lineRule="auto"/>
        <w:rPr>
          <w:sz w:val="28"/>
          <w:szCs w:val="28"/>
        </w:rPr>
      </w:pPr>
      <w:r>
        <w:rPr>
          <w:sz w:val="28"/>
          <w:szCs w:val="28"/>
        </w:rPr>
        <w:t xml:space="preserve">3. Контроль за исполнением настоящего постановления возложить на первого заместителя главы администрации Иссинского района Пензенской области.</w:t>
      </w:r>
      <w:r>
        <w:rPr>
          <w:sz w:val="28"/>
          <w:szCs w:val="28"/>
        </w:rPr>
      </w:r>
    </w:p>
    <w:p>
      <w:pPr>
        <w:pStyle w:val="641"/>
        <w:ind w:firstLine="540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ind w:firstLine="540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ind w:firstLine="540"/>
        <w:jc w:val="both"/>
        <w:spacing w:line="228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41"/>
        <w:ind w:firstLine="540"/>
        <w:jc w:val="both"/>
        <w:spacing w:line="228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41"/>
        <w:ind w:firstLine="540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«Рабочий поселок Исса»</w:t>
        <w:tab/>
        <w:tab/>
        <w:tab/>
        <w:tab/>
        <w:tab/>
        <w:tab/>
        <w:tab/>
        <w:t xml:space="preserve">Ю.С. Юхно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41"/>
        <w:ind w:firstLine="540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ind w:firstLine="540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ind w:firstLine="540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ind w:firstLine="540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ind w:firstLine="540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ind w:firstLine="540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ind w:firstLine="540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ind w:firstLine="540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ind w:firstLine="540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ind w:firstLine="540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ind w:firstLine="540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ind w:firstLine="540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ind w:firstLine="540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ind w:firstLine="540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ind w:firstLine="540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ind w:firstLine="540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ind w:firstLine="540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ind w:firstLine="540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ind w:firstLine="540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ind w:firstLine="540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ind w:firstLine="540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ind w:firstLine="540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  <w:bookmarkStart w:id="1" w:name="RANGE!A1%3AI46"/>
      <w:r/>
      <w:bookmarkEnd w:id="1"/>
      <w:r/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jc w:val="both"/>
        <w:spacing w:line="228" w:lineRule="auto"/>
        <w:rPr>
          <w:rFonts w:ascii="Times New Roman" w:hAnsi="Times New Roman" w:cs="Times New Roman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709" w:bottom="1134" w:left="1134" w:header="0" w:footer="0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jc w:val="right"/>
        <w:spacing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41"/>
        <w:jc w:val="right"/>
        <w:spacing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41"/>
        <w:jc w:val="right"/>
        <w:spacing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41"/>
        <w:jc w:val="right"/>
        <w:spacing w:line="228" w:lineRule="auto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</w:t>
      </w:r>
      <w:r/>
    </w:p>
    <w:p>
      <w:pPr>
        <w:pStyle w:val="641"/>
        <w:jc w:val="right"/>
        <w:spacing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Иссинского района Пензенской области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41"/>
        <w:jc w:val="center"/>
        <w:spacing w:line="228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от    .10.2024  №  </w:t>
      </w:r>
      <w:r/>
    </w:p>
    <w:p>
      <w:pPr>
        <w:pStyle w:val="641"/>
        <w:jc w:val="right"/>
        <w:spacing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5017" w:type="dxa"/>
        <w:tblInd w:w="-431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826"/>
        <w:gridCol w:w="1784"/>
        <w:gridCol w:w="1784"/>
        <w:gridCol w:w="1933"/>
        <w:gridCol w:w="1933"/>
        <w:gridCol w:w="1635"/>
        <w:gridCol w:w="1635"/>
        <w:gridCol w:w="1487"/>
      </w:tblGrid>
      <w:tr>
        <w:tblPrEx/>
        <w:trPr>
          <w:trHeight w:val="10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Показатель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Отчётный год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Очередной год </w:t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Первый год планового периода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Второй год планового периода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2028 год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2029 год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2030 год</w:t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Доходы - всего</w:t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31208,4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18347,3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18011,3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18691,8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18691,8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18691,8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18691,8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30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2826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в том числе:</w:t>
            </w:r>
            <w:r/>
          </w:p>
        </w:tc>
        <w:tc>
          <w:tcPr>
            <w:shd w:val="clear" w:color="auto" w:fill="ffffff"/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 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 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 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 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 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 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 </w:t>
            </w:r>
            <w:r/>
          </w:p>
        </w:tc>
      </w:tr>
      <w:tr>
        <w:tblPrEx/>
        <w:trPr>
          <w:trHeight w:val="378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Налоговые, неналоговые</w:t>
            </w:r>
            <w:r/>
          </w:p>
        </w:tc>
        <w:tc>
          <w:tcPr>
            <w:shd w:val="clear" w:color="auto" w:fill="ffffff"/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13995,9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15817,4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15506,9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16189,3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16189,3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16189,3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16189,3</w:t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Безвозмездные поступления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17212,5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2529,9</w:t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2504,4</w:t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2502,5</w:t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2502,5</w:t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2502,5</w:t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2502,5</w:t>
            </w:r>
            <w:r/>
          </w:p>
        </w:tc>
      </w:tr>
      <w:tr>
        <w:tblPrEx/>
        <w:trPr>
          <w:trHeight w:val="30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из них:</w:t>
            </w:r>
            <w:r/>
          </w:p>
        </w:tc>
        <w:tc>
          <w:tcPr>
            <w:shd w:val="clear" w:color="auto" w:fill="ffffff"/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 </w:t>
            </w:r>
            <w:r>
              <w:rPr>
                <w:color w:val="ff0000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 </w:t>
            </w:r>
            <w:r>
              <w:rPr>
                <w:color w:val="ff0000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 </w:t>
            </w:r>
            <w:r>
              <w:rPr>
                <w:color w:val="ff0000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 </w:t>
            </w:r>
            <w:r>
              <w:rPr>
                <w:color w:val="ff0000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 </w:t>
            </w:r>
            <w:r>
              <w:rPr>
                <w:color w:val="ff0000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 </w:t>
            </w:r>
            <w:r>
              <w:rPr>
                <w:color w:val="ff0000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 </w:t>
            </w:r>
            <w:r>
              <w:rPr>
                <w:color w:val="ff0000"/>
              </w:rPr>
            </w:r>
          </w:p>
        </w:tc>
      </w:tr>
      <w:tr>
        <w:tblPrEx/>
        <w:trPr>
          <w:trHeight w:val="3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Дотации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2058,0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1978,9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1918,2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1898,2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1898,2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1898,2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1898,2</w:t>
            </w:r>
            <w:r/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Субсидии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14207,87</w:t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40,0</w:t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40,0</w:t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40,0</w:t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40,0</w:t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40,0</w:t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40,0</w:t>
            </w:r>
            <w:r/>
          </w:p>
        </w:tc>
      </w:tr>
      <w:tr>
        <w:tblPrEx/>
        <w:trPr>
          <w:trHeight w:val="368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Субвенции</w:t>
            </w:r>
            <w:r/>
          </w:p>
        </w:tc>
        <w:tc>
          <w:tcPr>
            <w:shd w:val="clear" w:color="auto" w:fill="ffffff"/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381,5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375,7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410,9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429,0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429,0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429,0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429,0</w:t>
            </w:r>
            <w:r/>
          </w:p>
        </w:tc>
      </w:tr>
      <w:tr>
        <w:tblPrEx/>
        <w:trPr>
          <w:trHeight w:val="483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Иные межбюджетные трансферты</w:t>
            </w:r>
            <w:r/>
          </w:p>
        </w:tc>
        <w:tc>
          <w:tcPr>
            <w:shd w:val="clear" w:color="auto" w:fill="ffffff"/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361,58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135,3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135,3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135,3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135,3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135,3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135,3</w:t>
            </w:r>
            <w:r/>
          </w:p>
        </w:tc>
      </w:tr>
      <w:tr>
        <w:tblPrEx/>
        <w:trPr>
          <w:trHeight w:val="52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Прочие безвозмездные поступления</w:t>
            </w:r>
            <w:r/>
          </w:p>
        </w:tc>
        <w:tc>
          <w:tcPr>
            <w:shd w:val="clear" w:color="auto" w:fill="ffffff"/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203,5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</w:tr>
      <w:tr>
        <w:tblPrEx/>
        <w:trPr>
          <w:trHeight w:val="42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Возврат остатков прошлых лет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 </w:t>
            </w:r>
            <w:r>
              <w:rPr>
                <w:color w:val="ff0000"/>
              </w:rPr>
            </w:r>
          </w:p>
        </w:tc>
        <w:tc>
          <w:tcPr>
            <w:shd w:val="clear" w:color="auto" w:fill="ffffff"/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 </w:t>
            </w:r>
            <w:r>
              <w:rPr>
                <w:color w:val="ff0000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 </w:t>
            </w:r>
            <w:r>
              <w:rPr>
                <w:color w:val="ff0000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 </w:t>
            </w:r>
            <w:r>
              <w:rPr>
                <w:color w:val="ff0000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 </w:t>
            </w:r>
            <w:r>
              <w:rPr>
                <w:color w:val="ff0000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 </w:t>
            </w:r>
            <w:r>
              <w:rPr>
                <w:color w:val="ff0000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 </w:t>
            </w:r>
            <w:r>
              <w:rPr>
                <w:color w:val="ff0000"/>
              </w:rPr>
            </w:r>
          </w:p>
        </w:tc>
      </w:tr>
      <w:tr>
        <w:tblPrEx/>
        <w:trPr>
          <w:trHeight w:val="25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Расходы - всего</w:t>
            </w:r>
            <w:r/>
          </w:p>
        </w:tc>
        <w:tc>
          <w:tcPr>
            <w:shd w:val="clear" w:color="auto" w:fill="ffffff"/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31993,36</w:t>
            </w:r>
            <w:r>
              <w:rPr>
                <w:b/>
                <w:bCs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18928,36</w:t>
            </w:r>
            <w:r>
              <w:rPr>
                <w:b/>
                <w:bCs/>
              </w:rPr>
            </w:r>
          </w:p>
          <w:p>
            <w:pPr>
              <w:pStyle w:val="618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18576,3</w:t>
            </w:r>
            <w:r>
              <w:rPr>
                <w:b/>
                <w:bCs/>
              </w:rPr>
            </w:r>
          </w:p>
          <w:p>
            <w:pPr>
              <w:pStyle w:val="618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19318,8</w:t>
            </w:r>
            <w:r>
              <w:rPr>
                <w:b/>
                <w:bCs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19318,8</w:t>
            </w:r>
            <w:r>
              <w:rPr>
                <w:b/>
                <w:bCs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19318,8</w:t>
            </w:r>
            <w:r>
              <w:rPr>
                <w:b/>
                <w:bCs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19318,8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6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из них:</w:t>
            </w:r>
            <w:r/>
          </w:p>
        </w:tc>
        <w:tc>
          <w:tcPr>
            <w:shd w:val="clear" w:color="auto" w:fill="ffffff"/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 </w:t>
            </w:r>
            <w:r>
              <w:rPr>
                <w:color w:val="ff0000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 </w:t>
            </w:r>
            <w:r>
              <w:rPr>
                <w:color w:val="ff0000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 </w:t>
            </w:r>
            <w:r>
              <w:rPr>
                <w:color w:val="ff0000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 </w:t>
            </w:r>
            <w:r>
              <w:rPr>
                <w:color w:val="ff0000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 </w:t>
            </w:r>
            <w:r>
              <w:rPr>
                <w:color w:val="ff0000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 </w:t>
            </w:r>
            <w:r>
              <w:rPr>
                <w:color w:val="ff0000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 </w:t>
            </w:r>
            <w:r>
              <w:rPr>
                <w:color w:val="ff0000"/>
              </w:rPr>
            </w:r>
          </w:p>
        </w:tc>
      </w:tr>
      <w:tr>
        <w:tblPrEx/>
        <w:trPr>
          <w:trHeight w:val="4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Межбюджетные трансферты местным бюджетам</w:t>
            </w:r>
            <w:r/>
          </w:p>
        </w:tc>
        <w:tc>
          <w:tcPr>
            <w:shd w:val="clear" w:color="auto" w:fill="ffffff"/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272,9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272,9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272,9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272,9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272,9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272,9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272,9</w:t>
            </w:r>
            <w:r/>
          </w:p>
        </w:tc>
      </w:tr>
      <w:tr>
        <w:tblPrEx/>
        <w:trPr>
          <w:trHeight w:val="30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из них:</w:t>
            </w:r>
            <w:r/>
          </w:p>
        </w:tc>
        <w:tc>
          <w:tcPr>
            <w:shd w:val="clear" w:color="auto" w:fill="ffffff"/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 </w:t>
            </w:r>
            <w:r>
              <w:rPr>
                <w:i/>
                <w:iCs/>
                <w:color w:val="ff0000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</w:r>
          </w:p>
        </w:tc>
      </w:tr>
      <w:tr>
        <w:tblPrEx/>
        <w:trPr>
          <w:trHeight w:val="28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Дотации</w:t>
            </w:r>
            <w:r/>
          </w:p>
        </w:tc>
        <w:tc>
          <w:tcPr>
            <w:shd w:val="clear" w:color="auto" w:fill="ffffff"/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Cs/>
              </w:rPr>
            </w:pPr>
            <w:r>
              <w:rPr>
                <w:iCs/>
              </w:rPr>
              <w:t xml:space="preserve">0,0</w:t>
            </w:r>
            <w:r>
              <w:rPr>
                <w:iCs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0,0</w:t>
            </w:r>
            <w:r>
              <w:rPr>
                <w:i/>
                <w:iCs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0,0</w:t>
            </w:r>
            <w:r>
              <w:rPr>
                <w:i/>
                <w:iCs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0,0</w:t>
            </w:r>
            <w:r>
              <w:rPr>
                <w:i/>
                <w:iCs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0,0</w:t>
            </w:r>
            <w:r>
              <w:rPr>
                <w:i/>
                <w:iCs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0,0</w:t>
            </w:r>
            <w:r>
              <w:rPr>
                <w:i/>
                <w:iCs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0,0</w:t>
            </w:r>
            <w:r>
              <w:rPr>
                <w:i/>
                <w:iCs/>
              </w:rPr>
            </w:r>
          </w:p>
        </w:tc>
      </w:tr>
      <w:tr>
        <w:tblPrEx/>
        <w:trPr>
          <w:trHeight w:val="417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Расходы на обслуживание муниципального долга</w:t>
            </w:r>
            <w:r/>
          </w:p>
        </w:tc>
        <w:tc>
          <w:tcPr>
            <w:shd w:val="clear" w:color="auto" w:fill="ffffff"/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</w:tr>
      <w:tr>
        <w:tblPrEx/>
        <w:trPr>
          <w:trHeight w:val="113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отношение расходов на обслуживание муниципального долга к общему объему расходов, за исключением расходов, которые осуществляются за счет субвенций, предоставляемых из бюджетов бюджетной системы РФ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 </w:t>
            </w:r>
            <w:r>
              <w:rPr>
                <w:i/>
                <w:iCs/>
                <w:color w:val="ff0000"/>
              </w:rPr>
            </w:r>
          </w:p>
        </w:tc>
        <w:tc>
          <w:tcPr>
            <w:shd w:val="clear" w:color="auto" w:fill="ffffff"/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 </w:t>
            </w:r>
            <w:r>
              <w:rPr>
                <w:i/>
                <w:iCs/>
                <w:color w:val="ff0000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 </w:t>
            </w:r>
            <w:r>
              <w:rPr>
                <w:i/>
                <w:iCs/>
                <w:color w:val="ff0000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 </w:t>
            </w:r>
            <w:r>
              <w:rPr>
                <w:i/>
                <w:iCs/>
                <w:color w:val="ff0000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 </w:t>
            </w:r>
            <w:r>
              <w:rPr>
                <w:i/>
                <w:iCs/>
                <w:color w:val="ff0000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 </w:t>
            </w:r>
            <w:r>
              <w:rPr>
                <w:i/>
                <w:iCs/>
                <w:color w:val="ff0000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 </w:t>
            </w:r>
            <w:r>
              <w:rPr>
                <w:i/>
                <w:iCs/>
                <w:color w:val="ff0000"/>
              </w:rPr>
            </w:r>
          </w:p>
        </w:tc>
      </w:tr>
      <w:tr>
        <w:tblPrEx/>
        <w:trPr>
          <w:trHeight w:val="483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Дефицит (профицит)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rPr>
                <w:b/>
                <w:bCs/>
              </w:rPr>
              <w:t xml:space="preserve">-785,0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rPr>
                <w:b/>
                <w:bCs/>
              </w:rPr>
              <w:t xml:space="preserve">-581,0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rPr>
                <w:b/>
                <w:bCs/>
              </w:rPr>
              <w:t xml:space="preserve">-565,0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rPr>
                <w:b/>
                <w:bCs/>
              </w:rPr>
              <w:t xml:space="preserve">-627,0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rPr>
                <w:b/>
                <w:bCs/>
              </w:rPr>
              <w:t xml:space="preserve">-627,0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rPr>
                <w:b/>
                <w:bCs/>
              </w:rPr>
              <w:t xml:space="preserve">-627,0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rPr>
                <w:b/>
                <w:bCs/>
              </w:rPr>
              <w:t xml:space="preserve">-627,0</w:t>
            </w:r>
            <w:r/>
          </w:p>
        </w:tc>
      </w:tr>
      <w:tr>
        <w:tblPrEx/>
        <w:trPr>
          <w:trHeight w:val="1057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отношение дефицита к объему доходов без учета безвозмездных поступлений, %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5,6</w:t>
            </w:r>
            <w:r>
              <w:rPr>
                <w:i/>
                <w:iCs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3,7</w:t>
            </w:r>
            <w:r>
              <w:rPr>
                <w:i/>
                <w:iCs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3,6</w:t>
            </w:r>
            <w:r>
              <w:rPr>
                <w:i/>
                <w:iCs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3,9</w:t>
            </w:r>
            <w:r>
              <w:rPr>
                <w:i/>
                <w:iCs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3,9</w:t>
            </w:r>
            <w:r>
              <w:rPr>
                <w:i/>
                <w:iCs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3,9</w:t>
            </w:r>
            <w:r>
              <w:rPr>
                <w:i/>
                <w:iCs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3,9</w:t>
            </w:r>
            <w:r>
              <w:rPr>
                <w:i/>
                <w:iCs/>
              </w:rPr>
            </w:r>
          </w:p>
        </w:tc>
      </w:tr>
      <w:tr>
        <w:tblPrEx/>
        <w:trPr>
          <w:trHeight w:val="28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Источники финансирования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rPr>
                <w:b/>
                <w:bCs/>
              </w:rPr>
              <w:t xml:space="preserve">785,0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rPr>
                <w:b/>
                <w:bCs/>
              </w:rPr>
              <w:t xml:space="preserve">581,0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rPr>
                <w:b/>
                <w:bCs/>
              </w:rPr>
              <w:t xml:space="preserve">565,0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rPr>
                <w:b/>
                <w:bCs/>
              </w:rPr>
              <w:t xml:space="preserve">627,0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rPr>
                <w:b/>
                <w:bCs/>
              </w:rPr>
              <w:t xml:space="preserve">627,0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rPr>
                <w:b/>
                <w:bCs/>
              </w:rPr>
              <w:t xml:space="preserve">627,0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rPr>
                <w:b/>
                <w:bCs/>
              </w:rPr>
              <w:t xml:space="preserve">627,0</w:t>
            </w:r>
            <w:r/>
          </w:p>
        </w:tc>
      </w:tr>
      <w:tr>
        <w:tblPrEx/>
        <w:trPr>
          <w:trHeight w:val="307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из них: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 </w:t>
            </w:r>
            <w:r>
              <w:rPr>
                <w:b/>
                <w:bCs/>
                <w:color w:val="ff0000"/>
              </w:rPr>
            </w:r>
          </w:p>
        </w:tc>
        <w:tc>
          <w:tcPr>
            <w:shd w:val="clear" w:color="auto" w:fill="ffffff"/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 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 </w:t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 </w:t>
            </w:r>
            <w:r>
              <w:rPr>
                <w:color w:val="ff0000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 </w:t>
            </w:r>
            <w:r>
              <w:rPr>
                <w:color w:val="ff0000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 </w:t>
            </w:r>
            <w:r>
              <w:rPr>
                <w:color w:val="ff0000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 </w:t>
            </w:r>
            <w:r>
              <w:rPr>
                <w:color w:val="ff0000"/>
              </w:rPr>
            </w:r>
          </w:p>
        </w:tc>
      </w:tr>
      <w:tr>
        <w:tblPrEx/>
        <w:trPr>
          <w:trHeight w:val="32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Бюджетные кредиты</w:t>
            </w:r>
            <w:r/>
          </w:p>
        </w:tc>
        <w:tc>
          <w:tcPr>
            <w:shd w:val="clear" w:color="auto" w:fill="ffffff"/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  <w:tc>
          <w:tcPr>
            <w:shd w:val="clear" w:color="auto" w:fill="ffffff"/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</w:tr>
      <w:tr>
        <w:tblPrEx/>
        <w:trPr>
          <w:trHeight w:val="49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Кредиты кредитных организаций</w:t>
            </w:r>
            <w:r/>
          </w:p>
        </w:tc>
        <w:tc>
          <w:tcPr>
            <w:shd w:val="clear" w:color="auto" w:fill="ffffff"/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</w:tr>
      <w:tr>
        <w:tblPrEx/>
        <w:trPr>
          <w:trHeight w:val="403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Муниципальный долг на конец года</w:t>
            </w:r>
            <w:r/>
          </w:p>
        </w:tc>
        <w:tc>
          <w:tcPr>
            <w:shd w:val="clear" w:color="auto" w:fill="ffffff"/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  <w:p>
            <w:pPr>
              <w:pStyle w:val="618"/>
              <w:jc w:val="center"/>
            </w:pPr>
            <w:r/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  <w:p>
            <w:pPr>
              <w:pStyle w:val="618"/>
              <w:jc w:val="center"/>
            </w:pPr>
            <w:r/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  <w:p>
            <w:pPr>
              <w:pStyle w:val="618"/>
              <w:jc w:val="center"/>
            </w:pPr>
            <w:r/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t xml:space="preserve">0,0</w:t>
            </w:r>
            <w:r/>
          </w:p>
          <w:p>
            <w:pPr>
              <w:pStyle w:val="618"/>
              <w:jc w:val="center"/>
            </w:pPr>
            <w:r/>
            <w:r/>
          </w:p>
        </w:tc>
      </w:tr>
      <w:tr>
        <w:tblPrEx/>
        <w:trPr>
          <w:trHeight w:val="40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Изменение остатков</w:t>
            </w:r>
            <w:r/>
          </w:p>
        </w:tc>
        <w:tc>
          <w:tcPr>
            <w:shd w:val="clear" w:color="auto" w:fill="ffffff"/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rPr>
                <w:b/>
                <w:bCs/>
              </w:rPr>
              <w:t xml:space="preserve">785,0</w:t>
            </w:r>
            <w:r/>
          </w:p>
          <w:p>
            <w:pPr>
              <w:pStyle w:val="618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rPr>
                <w:b/>
                <w:bCs/>
              </w:rPr>
              <w:t xml:space="preserve">581,0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rPr>
                <w:b/>
                <w:bCs/>
              </w:rPr>
              <w:t xml:space="preserve">565,0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rPr>
                <w:b/>
                <w:bCs/>
              </w:rPr>
              <w:t xml:space="preserve">627,0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rPr>
                <w:b/>
                <w:bCs/>
              </w:rPr>
              <w:t xml:space="preserve">627,0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rPr>
                <w:b/>
                <w:bCs/>
              </w:rPr>
              <w:t xml:space="preserve">627,0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rPr>
                <w:b/>
                <w:bCs/>
              </w:rPr>
              <w:t xml:space="preserve">627,0</w:t>
            </w:r>
            <w:r/>
          </w:p>
        </w:tc>
      </w:tr>
      <w:tr>
        <w:tblPrEx/>
        <w:trPr>
          <w:trHeight w:val="102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отношение муниципального долга к объему доходов без учета безвозмездных поступлений, %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rPr>
                <w:i/>
                <w:iCs/>
              </w:rPr>
              <w:t xml:space="preserve">0,0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784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0,0</w:t>
            </w:r>
            <w:r>
              <w:rPr>
                <w:i/>
                <w:iCs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</w:pPr>
            <w:r>
              <w:rPr>
                <w:i/>
                <w:iCs/>
              </w:rPr>
              <w:t xml:space="preserve">0,0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0,0</w:t>
            </w:r>
            <w:r>
              <w:rPr>
                <w:i/>
                <w:iCs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0,0</w:t>
            </w:r>
            <w:r>
              <w:rPr>
                <w:i/>
                <w:iCs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0,0</w:t>
            </w:r>
            <w:r>
              <w:rPr>
                <w:i/>
                <w:iCs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0,0</w:t>
            </w:r>
            <w:r>
              <w:rPr>
                <w:i/>
                <w:iCs/>
              </w:rPr>
            </w:r>
          </w:p>
        </w:tc>
      </w:tr>
    </w:tbl>
    <w:p>
      <w:pPr>
        <w:pStyle w:val="618"/>
        <w:jc w:val="right"/>
        <w:rPr>
          <w:color w:val="ff0000"/>
          <w:szCs w:val="28"/>
        </w:rPr>
      </w:pPr>
      <w:r>
        <w:rPr>
          <w:color w:val="ff0000"/>
          <w:szCs w:val="28"/>
        </w:rPr>
      </w:r>
      <w:r>
        <w:rPr>
          <w:color w:val="ff0000"/>
          <w:szCs w:val="28"/>
        </w:rPr>
      </w:r>
    </w:p>
    <w:p>
      <w:pPr>
        <w:pStyle w:val="618"/>
        <w:jc w:val="right"/>
        <w:rPr>
          <w:color w:val="ff0000"/>
          <w:szCs w:val="28"/>
        </w:rPr>
        <w:sectPr>
          <w:footnotePr/>
          <w:endnotePr/>
          <w:type w:val="nextPage"/>
          <w:pgSz w:w="16838" w:h="11906" w:orient="landscape"/>
          <w:pgMar w:top="1134" w:right="1134" w:bottom="709" w:left="1134" w:header="0" w:footer="0" w:gutter="0"/>
          <w:cols w:num="1" w:sep="0" w:space="1701" w:equalWidth="1"/>
          <w:docGrid w:linePitch="360"/>
        </w:sectPr>
      </w:pPr>
      <w:r>
        <w:rPr>
          <w:color w:val="ff0000"/>
          <w:szCs w:val="28"/>
        </w:rPr>
      </w:r>
      <w:r>
        <w:rPr>
          <w:color w:val="ff0000"/>
          <w:szCs w:val="28"/>
        </w:rPr>
      </w:r>
    </w:p>
    <w:p>
      <w:pPr>
        <w:pStyle w:val="641"/>
        <w:jc w:val="right"/>
        <w:spacing w:line="228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sectPr>
      <w:footnotePr/>
      <w:endnotePr/>
      <w:type w:val="nextPage"/>
      <w:pgSz w:w="16838" w:h="11906" w:orient="landscape"/>
      <w:pgMar w:top="1134" w:right="1134" w:bottom="709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506030602030204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pStyle w:val="61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8"/>
    <w:next w:val="61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8"/>
    <w:next w:val="61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11"/>
    <w:link w:val="619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8"/>
    <w:next w:val="61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8"/>
    <w:next w:val="61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8"/>
    <w:next w:val="61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8"/>
    <w:next w:val="61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8"/>
    <w:next w:val="61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8"/>
    <w:next w:val="61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8"/>
    <w:next w:val="61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character" w:styleId="37">
    <w:name w:val="Subtitle Char"/>
    <w:basedOn w:val="11"/>
    <w:link w:val="636"/>
    <w:uiPriority w:val="11"/>
    <w:rPr>
      <w:sz w:val="24"/>
      <w:szCs w:val="24"/>
    </w:rPr>
  </w:style>
  <w:style w:type="paragraph" w:styleId="38">
    <w:name w:val="Quote"/>
    <w:basedOn w:val="618"/>
    <w:next w:val="61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8"/>
    <w:next w:val="61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11"/>
    <w:link w:val="648"/>
    <w:uiPriority w:val="99"/>
  </w:style>
  <w:style w:type="character" w:styleId="45">
    <w:name w:val="Footer Char"/>
    <w:basedOn w:val="11"/>
    <w:link w:val="649"/>
    <w:uiPriority w:val="99"/>
  </w:style>
  <w:style w:type="character" w:styleId="47">
    <w:name w:val="Caption Char"/>
    <w:basedOn w:val="634"/>
    <w:link w:val="649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  <w:pPr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619">
    <w:name w:val="Heading 3"/>
    <w:basedOn w:val="618"/>
    <w:next w:val="618"/>
    <w:qFormat/>
    <w:pPr>
      <w:numPr>
        <w:ilvl w:val="2"/>
        <w:numId w:val="1"/>
      </w:num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character" w:styleId="620">
    <w:name w:val="WW8Num1z0"/>
    <w:qFormat/>
  </w:style>
  <w:style w:type="character" w:styleId="621">
    <w:name w:val="WW8Num2z0"/>
    <w:qFormat/>
  </w:style>
  <w:style w:type="character" w:styleId="622">
    <w:name w:val="Основной шрифт абзаца"/>
    <w:qFormat/>
  </w:style>
  <w:style w:type="character" w:styleId="623">
    <w:name w:val="Схема документа Знак"/>
    <w:qFormat/>
    <w:rPr>
      <w:rFonts w:ascii="Tahoma" w:hAnsi="Tahoma" w:cs="Tahoma"/>
      <w:sz w:val="16"/>
      <w:szCs w:val="16"/>
    </w:rPr>
  </w:style>
  <w:style w:type="character" w:styleId="624">
    <w:name w:val="Strong"/>
    <w:qFormat/>
    <w:rPr>
      <w:b/>
      <w:bCs/>
    </w:rPr>
  </w:style>
  <w:style w:type="character" w:styleId="625">
    <w:name w:val="Основной текст 2 Знак"/>
    <w:basedOn w:val="622"/>
    <w:qFormat/>
  </w:style>
  <w:style w:type="character" w:styleId="626">
    <w:name w:val="Основной текст с отступом Знак"/>
    <w:basedOn w:val="622"/>
    <w:qFormat/>
  </w:style>
  <w:style w:type="character" w:styleId="627">
    <w:name w:val="Основной текст с отступом 2 Знак"/>
    <w:basedOn w:val="622"/>
    <w:qFormat/>
  </w:style>
  <w:style w:type="character" w:styleId="628">
    <w:name w:val="Заголовок 3 Знак"/>
    <w:qFormat/>
    <w:rPr>
      <w:rFonts w:ascii="Arial" w:hAnsi="Arial" w:cs="Arial"/>
      <w:b/>
      <w:bCs/>
      <w:sz w:val="26"/>
      <w:szCs w:val="26"/>
    </w:rPr>
  </w:style>
  <w:style w:type="character" w:styleId="629">
    <w:name w:val="Верхний колонтитул Знак"/>
    <w:basedOn w:val="622"/>
    <w:qFormat/>
  </w:style>
  <w:style w:type="character" w:styleId="630">
    <w:name w:val="Нижний колонтитул Знак"/>
    <w:basedOn w:val="622"/>
    <w:qFormat/>
  </w:style>
  <w:style w:type="paragraph" w:styleId="631">
    <w:name w:val="Heading"/>
    <w:basedOn w:val="618"/>
    <w:next w:val="632"/>
    <w:qFormat/>
    <w:pPr>
      <w:jc w:val="center"/>
    </w:pPr>
    <w:rPr>
      <w:b/>
      <w:sz w:val="36"/>
    </w:rPr>
  </w:style>
  <w:style w:type="paragraph" w:styleId="632">
    <w:name w:val="Body Text"/>
    <w:basedOn w:val="618"/>
    <w:pPr>
      <w:spacing w:before="0" w:after="140" w:line="276" w:lineRule="auto"/>
    </w:pPr>
  </w:style>
  <w:style w:type="paragraph" w:styleId="633">
    <w:name w:val="List"/>
    <w:basedOn w:val="632"/>
  </w:style>
  <w:style w:type="paragraph" w:styleId="634">
    <w:name w:val="Caption"/>
    <w:basedOn w:val="618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35">
    <w:name w:val="Index"/>
    <w:basedOn w:val="618"/>
    <w:qFormat/>
    <w:pPr>
      <w:suppressLineNumbers/>
    </w:pPr>
  </w:style>
  <w:style w:type="paragraph" w:styleId="636">
    <w:name w:val="Subtitle"/>
    <w:basedOn w:val="618"/>
    <w:next w:val="632"/>
    <w:qFormat/>
    <w:pPr>
      <w:jc w:val="center"/>
    </w:pPr>
    <w:rPr>
      <w:b/>
      <w:sz w:val="28"/>
    </w:rPr>
  </w:style>
  <w:style w:type="paragraph" w:styleId="637">
    <w:name w:val="Текст выноски"/>
    <w:basedOn w:val="618"/>
    <w:qFormat/>
    <w:rPr>
      <w:rFonts w:ascii="Tahoma" w:hAnsi="Tahoma" w:cs="Tahoma"/>
      <w:sz w:val="16"/>
      <w:szCs w:val="16"/>
    </w:rPr>
  </w:style>
  <w:style w:type="paragraph" w:styleId="638">
    <w:name w:val=" Знак"/>
    <w:basedOn w:val="618"/>
    <w:qFormat/>
    <w:pPr>
      <w:spacing w:before="0" w:after="160" w:line="240" w:lineRule="exact"/>
    </w:pPr>
    <w:rPr>
      <w:rFonts w:ascii="Arial" w:hAnsi="Arial" w:cs="Arial"/>
      <w:lang w:val="fr-FR"/>
    </w:rPr>
  </w:style>
  <w:style w:type="paragraph" w:styleId="639">
    <w:name w:val="Схема документа"/>
    <w:basedOn w:val="618"/>
    <w:qFormat/>
    <w:rPr>
      <w:rFonts w:ascii="Tahoma" w:hAnsi="Tahoma" w:cs="Tahoma"/>
      <w:sz w:val="16"/>
      <w:szCs w:val="16"/>
      <w:lang w:val="en-US"/>
    </w:rPr>
  </w:style>
  <w:style w:type="paragraph" w:styleId="640">
    <w:name w:val="ConsPlusTitle"/>
    <w:qFormat/>
    <w:pPr>
      <w:widowControl w:val="off"/>
    </w:pPr>
    <w:rPr>
      <w:rFonts w:ascii="Calibri" w:hAnsi="Calibri" w:eastAsia="Times New Roman" w:cs="Calibri"/>
      <w:b/>
      <w:color w:val="auto"/>
      <w:sz w:val="22"/>
      <w:szCs w:val="20"/>
      <w:lang w:val="ru-RU" w:eastAsia="zh-CN" w:bidi="ar-SA"/>
    </w:rPr>
  </w:style>
  <w:style w:type="paragraph" w:styleId="641">
    <w:name w:val="ConsPlusNormal"/>
    <w:qFormat/>
    <w:pPr>
      <w:widowControl w:val="off"/>
    </w:pPr>
    <w:rPr>
      <w:rFonts w:ascii="Calibri" w:hAnsi="Calibri" w:eastAsia="Times New Roman" w:cs="Calibri"/>
      <w:color w:val="auto"/>
      <w:sz w:val="22"/>
      <w:szCs w:val="20"/>
      <w:lang w:val="ru-RU" w:eastAsia="zh-CN" w:bidi="ar-SA"/>
    </w:rPr>
  </w:style>
  <w:style w:type="paragraph" w:styleId="642">
    <w:name w:val="Обычный (веб)"/>
    <w:basedOn w:val="618"/>
    <w:qFormat/>
    <w:pPr>
      <w:spacing w:before="100" w:after="100"/>
    </w:pPr>
    <w:rPr>
      <w:sz w:val="24"/>
      <w:szCs w:val="24"/>
    </w:rPr>
  </w:style>
  <w:style w:type="paragraph" w:styleId="643">
    <w:name w:val="Основной текст 2"/>
    <w:basedOn w:val="618"/>
    <w:qFormat/>
    <w:pPr>
      <w:spacing w:before="0" w:after="120" w:line="480" w:lineRule="auto"/>
      <w:widowControl w:val="off"/>
    </w:pPr>
  </w:style>
  <w:style w:type="paragraph" w:styleId="644">
    <w:name w:val="Body Text Indent"/>
    <w:basedOn w:val="618"/>
    <w:pPr>
      <w:ind w:left="283" w:firstLine="0"/>
      <w:spacing w:before="0" w:after="120"/>
    </w:pPr>
  </w:style>
  <w:style w:type="paragraph" w:styleId="645">
    <w:name w:val=" Знак2 Знак Знак Знак Знак Знак1 Знак Знак Знак Знак Знак Знак Знак Знак Знак Знак Знак Знак Знак"/>
    <w:basedOn w:val="618"/>
    <w:next w:val="618"/>
    <w:qFormat/>
    <w:pPr>
      <w:spacing w:before="0" w:after="160" w:line="240" w:lineRule="exact"/>
    </w:pPr>
    <w:rPr>
      <w:rFonts w:ascii="Arial" w:hAnsi="Arial" w:cs="Arial"/>
      <w:lang w:val="en-US"/>
    </w:rPr>
  </w:style>
  <w:style w:type="paragraph" w:styleId="646">
    <w:name w:val="Основной текст с отступом 2"/>
    <w:basedOn w:val="618"/>
    <w:qFormat/>
    <w:pPr>
      <w:ind w:left="283" w:firstLine="0"/>
      <w:spacing w:before="0" w:after="120" w:line="480" w:lineRule="auto"/>
    </w:pPr>
  </w:style>
  <w:style w:type="paragraph" w:styleId="647">
    <w:name w:val="Header and Footer"/>
    <w:basedOn w:val="618"/>
    <w:qFormat/>
    <w:pPr>
      <w:tabs>
        <w:tab w:val="clear" w:pos="720" w:leader="none"/>
        <w:tab w:val="center" w:pos="4819" w:leader="none"/>
        <w:tab w:val="right" w:pos="9638" w:leader="none"/>
      </w:tabs>
      <w:suppressLineNumbers/>
    </w:pPr>
  </w:style>
  <w:style w:type="paragraph" w:styleId="648">
    <w:name w:val="Header"/>
    <w:basedOn w:val="618"/>
    <w:pPr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649">
    <w:name w:val="Footer"/>
    <w:basedOn w:val="618"/>
    <w:pPr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650">
    <w:name w:val="Table Contents"/>
    <w:basedOn w:val="618"/>
    <w:qFormat/>
    <w:pPr>
      <w:widowControl w:val="off"/>
      <w:suppressLineNumbers/>
    </w:pPr>
  </w:style>
  <w:style w:type="paragraph" w:styleId="651">
    <w:name w:val="Table Heading"/>
    <w:basedOn w:val="650"/>
    <w:qFormat/>
    <w:pPr>
      <w:jc w:val="center"/>
      <w:suppressLineNumbers/>
    </w:pPr>
    <w:rPr>
      <w:b/>
      <w:bCs/>
    </w:rPr>
  </w:style>
  <w:style w:type="paragraph" w:styleId="652">
    <w:name w:val="Frame Contents"/>
    <w:basedOn w:val="618"/>
    <w:qFormat/>
  </w:style>
  <w:style w:type="numbering" w:styleId="653">
    <w:name w:val="WW8Num1"/>
    <w:qFormat/>
  </w:style>
  <w:style w:type="numbering" w:styleId="654">
    <w:name w:val="WW8Num2"/>
    <w:qFormat/>
  </w:style>
  <w:style w:type="character" w:styleId="3355" w:default="1">
    <w:name w:val="Default Paragraph Font"/>
    <w:uiPriority w:val="1"/>
    <w:semiHidden/>
    <w:unhideWhenUsed/>
  </w:style>
  <w:style w:type="numbering" w:styleId="3356" w:default="1">
    <w:name w:val="No List"/>
    <w:uiPriority w:val="99"/>
    <w:semiHidden/>
    <w:unhideWhenUsed/>
  </w:style>
  <w:style w:type="table" w:styleId="335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subject/>
  <dc:creator>Budjet_Sergey</dc:creator>
  <cp:keywords/>
  <dc:description/>
  <dc:language>en-US</dc:language>
  <cp:lastModifiedBy>Ирина Киреева</cp:lastModifiedBy>
  <cp:revision>5</cp:revision>
  <dcterms:created xsi:type="dcterms:W3CDTF">2024-10-25T15:38:00Z</dcterms:created>
  <dcterms:modified xsi:type="dcterms:W3CDTF">2024-11-11T08:41:58Z</dcterms:modified>
</cp:coreProperties>
</file>